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bookmarkStart w:colFirst="0" w:colLast="0" w:name="_gjdgxs" w:id="0"/>
      <w:bookmarkEnd w:id="0"/>
      <w:r w:rsidDel="00000000" w:rsidR="00000000" w:rsidRPr="00000000">
        <w:rPr>
          <w:rFonts w:ascii="Times New Roman" w:cs="Times New Roman" w:eastAsia="Times New Roman" w:hAnsi="Times New Roman"/>
          <w:b w:val="1"/>
          <w:bCs w:val="1"/>
          <w:color w:val="1f497d"/>
          <w:sz w:val="28"/>
          <w:szCs w:val="28"/>
          <w:rtl w:val="0"/>
        </w:rPr>
        <w:t xml:space="preserve">CHUYÊN VIÊN PR</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Chuyên viên PR</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Đối ngoại</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phòng Đối ngoại</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Nghiên cứu, đề ra và thực thi các chiến lược PR cho các thương hiệu sản phẩm và thương hiệu công ty </w:t>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Phụ trách và duy trì mối quan hệ với các cơ quan truyền thông, báo chí </w:t>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Soạn thảo các văn bản thông tin với báo chí, thông cáo báo chí tới các cơ quan báo chí. </w:t>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Cung cấp và làm rõ thông tin tới báo chí khi được phê duyệt </w:t>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Phối hợp với Phòng Hành chính Nhân sự xây dựng truyền thông nội bộ và quản lý trang web của công ty </w:t>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Phát hiện, báo cáo và xử lý các sự cố truyền thông, thiết lập các quy chuẩn và cách ứng xử đối với sự cố </w:t>
      </w:r>
    </w:p>
    <w:p w:rsidR="00000000" w:rsidDel="00000000" w:rsidP="00000000" w:rsidRDefault="00000000" w:rsidRPr="00000000" w14:paraId="0000000D">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Đánh giá tiềm năng các hoạt động tài trợ, song hành và quản lý quan hệ </w:t>
      </w:r>
    </w:p>
    <w:p w:rsidR="00000000" w:rsidDel="00000000" w:rsidP="00000000" w:rsidRDefault="00000000" w:rsidRPr="00000000" w14:paraId="0000000E">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Theo dõi các hoạt động truyền thông đối ngoại đang thực hiện và trình báo cáo lên cấp trên sau chương trình</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Báo chí - Truyền thông, Đối ngoại, Marketing hoặc các chuyên ngành liên quan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X năm kinh nghiệm làm chuyên viên PR hoặc các vị trí tương đương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kiến thức chuyên môn về PR, Truyền thông, Marketing Hiểu biết tốt về social media (blog, Facebook, Youtube,...)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khả năng biên tập, viết nội dung chuyên nghiệp, kiểm tra chính tả, ngữ nghĩa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kỹ năng phối hợp quản lý rủi ro &amp; khủng hoảng truyền thông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quan hệ và kinh nghiệm làm việc với cơ quan báo chí là một lợi thế</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1F">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20">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1">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2">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8">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9">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