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r w:rsidDel="00000000" w:rsidR="00000000" w:rsidRPr="00000000">
        <w:rPr>
          <w:rFonts w:ascii="Times New Roman" w:cs="Times New Roman" w:eastAsia="Times New Roman" w:hAnsi="Times New Roman"/>
          <w:b w:val="1"/>
          <w:bCs w:val="1"/>
          <w:color w:val="1f497d"/>
          <w:sz w:val="28"/>
          <w:szCs w:val="28"/>
          <w:rtl w:val="0"/>
        </w:rPr>
        <w:t xml:space="preserve">NHÂN VIÊN PHÁT TRIỂN KINH DOANH</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Nhân viên Phát triển Kinh doanh</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Kinh doanh</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phòng Kinh doanh</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Tiếp nhận, sàng lọc leads từ chiến dịch Marketing để trở thành đối tượng cho khâu sales </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Thực hiện cold call/gửi email giới thiệu công ty và sản phẩm/dịch vụ đến các khách hàng tiềm năng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Nhận biết, nắm bắt nhu cầu của khách hàng để từ đó giới thiệu các dịch vụ phù hợp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Làm việc với đội ngũ phát triển sản phẩm để xây dựng các sản phẩm/dịch vụ đáp ứng tốt nhất nhu cầu của khách hàng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Thuyết phục khách hàng sử dụng sản phẩm/dịch vụ, tạo dựng lòng tin của khách hàng với doanh nghiệp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Chủ động tìm kiếm các cơ hội kinh doanh mới trên thị trường. </w:t>
      </w:r>
    </w:p>
    <w:p w:rsidR="00000000" w:rsidDel="00000000" w:rsidP="00000000" w:rsidRDefault="00000000" w:rsidRPr="00000000" w14:paraId="0000000D">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Báo cáo lên các cấp trên về tiến độ, kết quả kinh doanh; nhu cầu, vấn đề, mối quan tâm của khách hàng; hoạt động của đối thủ cạnh tranh và tiềm năng trong việc phát triển kinh doanh sản phẩm/dịch vụ</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Quản trị Kinh doanh, Marketing hoặc các chuyên ngành khác có liên quan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tại các vị trí Nhân viên phát triển kinh doanh, Sales Account Executive hoặc các vị trí tương đương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Sử dụng thành thạo MS Office, đặc biệt là Excel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Thành thạo nhiều kỹ năng bán hàng (bao gồm cold call) tới nhiều đối tượng khách hàng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rõ về các chỉ số đo lường hiệu quả kinh doanh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giao tiếp và đàm phán tốt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1E">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1F">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0">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1">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7">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8">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9">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