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b/>
          <w:sz w:val="28"/>
        </w:rPr>
        <w:t>🇻🇳 CỘNG HÒA XÃ HỘI CHỦ NGHĨA VIỆT NAM</w:t>
      </w:r>
    </w:p>
    <w:p>
      <w:r>
        <w:rPr>
          <w:rFonts w:ascii="Times New Roman" w:hAnsi="Times New Roman"/>
          <w:b/>
          <w:sz w:val="26"/>
        </w:rPr>
        <w:t>Độc lập – Tự do – Hạnh phúc</w:t>
      </w:r>
    </w:p>
    <w:p>
      <w:r>
        <w:rPr>
          <w:rFonts w:ascii="Times New Roman" w:hAnsi="Times New Roman"/>
          <w:b w:val="0"/>
          <w:sz w:val="26"/>
        </w:rPr>
      </w:r>
    </w:p>
    <w:p>
      <w:r>
        <w:rPr>
          <w:rFonts w:ascii="Times New Roman" w:hAnsi="Times New Roman"/>
          <w:b/>
          <w:sz w:val="32"/>
        </w:rPr>
        <w:t>BIÊN BẢN THỎA THUẬN TRẢ NỢ</w:t>
      </w:r>
    </w:p>
    <w:p>
      <w:r>
        <w:rPr>
          <w:rFonts w:ascii="Times New Roman" w:hAnsi="Times New Roman"/>
          <w:b w:val="0"/>
          <w:sz w:val="26"/>
        </w:rPr>
        <w:t>Hôm nay, vào hồi 09 giờ 00 phút, ngày 15 tháng 03 năm 2025,</w:t>
        <w:br/>
        <w:t>Tại: Trụ sở Công ty TNHH Minh Long Tech, Tầng 5, Tòa nhà Sunrise, số 89 Duy Tân, Phường Dịch Vọng Hậu, Quận Cầu Giấy, Thành phố Hà Nội,</w:t>
      </w:r>
    </w:p>
    <w:p>
      <w:r>
        <w:rPr>
          <w:rFonts w:ascii="Times New Roman" w:hAnsi="Times New Roman"/>
          <w:b w:val="0"/>
          <w:sz w:val="26"/>
        </w:rPr>
        <w:br/>
        <w:t>Chúng tôi gồm có:</w:t>
        <w:br/>
      </w:r>
    </w:p>
    <w:p>
      <w:r>
        <w:rPr>
          <w:rFonts w:ascii="Times New Roman" w:hAnsi="Times New Roman"/>
          <w:b/>
          <w:sz w:val="28"/>
        </w:rPr>
        <w:t>I. THÔNG TIN CÁC BÊN THAM GIA THỎA THUẬN</w:t>
      </w:r>
    </w:p>
    <w:p>
      <w:r>
        <w:rPr>
          <w:rFonts w:ascii="Times New Roman" w:hAnsi="Times New Roman"/>
          <w:b/>
          <w:sz w:val="26"/>
        </w:rPr>
        <w:t>1. Bên cho vay / Chủ nợ (Bên A)</w:t>
      </w:r>
    </w:p>
    <w:p>
      <w:r>
        <w:rPr>
          <w:rFonts w:ascii="Times New Roman" w:hAnsi="Times New Roman"/>
          <w:b w:val="0"/>
          <w:sz w:val="26"/>
        </w:rPr>
        <w:t>Tên doanh nghiệp: CÔNG TY TNHH MINH LONG TECH</w:t>
      </w:r>
    </w:p>
    <w:p>
      <w:r>
        <w:rPr>
          <w:rFonts w:ascii="Times New Roman" w:hAnsi="Times New Roman"/>
          <w:b w:val="0"/>
          <w:sz w:val="26"/>
        </w:rPr>
        <w:t>Mã số doanh nghiệp: 0109988776</w:t>
      </w:r>
    </w:p>
    <w:p>
      <w:r>
        <w:rPr>
          <w:rFonts w:ascii="Times New Roman" w:hAnsi="Times New Roman"/>
          <w:b w:val="0"/>
          <w:sz w:val="26"/>
        </w:rPr>
        <w:t>Ngày cấp: 12/06/2019</w:t>
      </w:r>
    </w:p>
    <w:p>
      <w:r>
        <w:rPr>
          <w:rFonts w:ascii="Times New Roman" w:hAnsi="Times New Roman"/>
          <w:b w:val="0"/>
          <w:sz w:val="26"/>
        </w:rPr>
        <w:t>Nơi cấp: Sở Kế hoạch và Đầu tư Thành phố Hà Nội</w:t>
      </w:r>
    </w:p>
    <w:p>
      <w:r>
        <w:rPr>
          <w:rFonts w:ascii="Times New Roman" w:hAnsi="Times New Roman"/>
          <w:b w:val="0"/>
          <w:sz w:val="26"/>
        </w:rPr>
        <w:t>Địa chỉ trụ sở chính: Tầng 5, Tòa nhà Sunrise, số 89 Duy Tân, Phường Dịch Vọng Hậu, Quận Cầu Giấy, TP. Hà Nội</w:t>
      </w:r>
    </w:p>
    <w:p>
      <w:r>
        <w:rPr>
          <w:rFonts w:ascii="Times New Roman" w:hAnsi="Times New Roman"/>
          <w:b w:val="0"/>
          <w:sz w:val="26"/>
        </w:rPr>
        <w:t>Số điện thoại: 024.3567.8899</w:t>
      </w:r>
    </w:p>
    <w:p>
      <w:r>
        <w:rPr>
          <w:rFonts w:ascii="Times New Roman" w:hAnsi="Times New Roman"/>
          <w:b w:val="0"/>
          <w:sz w:val="26"/>
        </w:rPr>
        <w:t>Người đại diện theo pháp luật: Ông Phạm Minh Long</w:t>
      </w:r>
    </w:p>
    <w:p>
      <w:r>
        <w:rPr>
          <w:rFonts w:ascii="Times New Roman" w:hAnsi="Times New Roman"/>
          <w:b w:val="0"/>
          <w:sz w:val="26"/>
        </w:rPr>
        <w:t>Chức danh: Giám đốc</w:t>
      </w:r>
    </w:p>
    <w:p>
      <w:r>
        <w:rPr>
          <w:rFonts w:ascii="Times New Roman" w:hAnsi="Times New Roman"/>
          <w:b w:val="0"/>
          <w:sz w:val="26"/>
        </w:rPr>
      </w:r>
    </w:p>
    <w:p>
      <w:r>
        <w:rPr>
          <w:rFonts w:ascii="Times New Roman" w:hAnsi="Times New Roman"/>
          <w:b w:val="0"/>
          <w:sz w:val="26"/>
        </w:rPr>
        <w:t>Bên A là bên cho vay/chủ nợ, có đầy đủ năng lực pháp luật và năng lực hành vi dân sự, là chủ sở hữu hợp pháp đối với khoản tiền cho vay và có đầy đủ quyền yêu cầu thanh toán theo nội dung thỏa thuận tại biên bản này.</w:t>
      </w:r>
    </w:p>
    <w:p>
      <w:r>
        <w:rPr>
          <w:rFonts w:ascii="Times New Roman" w:hAnsi="Times New Roman"/>
          <w:b/>
          <w:sz w:val="26"/>
        </w:rPr>
        <w:br/>
        <w:t>2. Bên vay / Con nợ (Bên B)</w:t>
      </w:r>
    </w:p>
    <w:p>
      <w:r>
        <w:rPr>
          <w:rFonts w:ascii="Times New Roman" w:hAnsi="Times New Roman"/>
          <w:b w:val="0"/>
          <w:sz w:val="26"/>
        </w:rPr>
        <w:t>Tên doanh nghiệp: CÔNG TY CỔ PHẦN GIẢI PHÁP SỐ AN PHÁT</w:t>
      </w:r>
    </w:p>
    <w:p>
      <w:r>
        <w:rPr>
          <w:rFonts w:ascii="Times New Roman" w:hAnsi="Times New Roman"/>
          <w:b w:val="0"/>
          <w:sz w:val="26"/>
        </w:rPr>
        <w:t>Mã số doanh nghiệp: 0105566778</w:t>
      </w:r>
    </w:p>
    <w:p>
      <w:r>
        <w:rPr>
          <w:rFonts w:ascii="Times New Roman" w:hAnsi="Times New Roman"/>
          <w:b w:val="0"/>
          <w:sz w:val="26"/>
        </w:rPr>
        <w:t>Ngày cấp: 18/08/2020</w:t>
      </w:r>
    </w:p>
    <w:p>
      <w:r>
        <w:rPr>
          <w:rFonts w:ascii="Times New Roman" w:hAnsi="Times New Roman"/>
          <w:b w:val="0"/>
          <w:sz w:val="26"/>
        </w:rPr>
        <w:t>Nơi cấp: Sở Kế hoạch và Đầu tư Thành phố Hà Nội</w:t>
      </w:r>
    </w:p>
    <w:p>
      <w:r>
        <w:rPr>
          <w:rFonts w:ascii="Times New Roman" w:hAnsi="Times New Roman"/>
          <w:b w:val="0"/>
          <w:sz w:val="26"/>
        </w:rPr>
        <w:t>Địa chỉ trụ sở chính: Tầng 6, Tòa nhà Green Office, số 102 Thái Thịnh, Quận Đống Đa, TP. Hà Nội</w:t>
      </w:r>
    </w:p>
    <w:p>
      <w:r>
        <w:rPr>
          <w:rFonts w:ascii="Times New Roman" w:hAnsi="Times New Roman"/>
          <w:b w:val="0"/>
          <w:sz w:val="26"/>
        </w:rPr>
        <w:t>Số điện thoại: 024.3777.6688</w:t>
      </w:r>
    </w:p>
    <w:p>
      <w:r>
        <w:rPr>
          <w:rFonts w:ascii="Times New Roman" w:hAnsi="Times New Roman"/>
          <w:b w:val="0"/>
          <w:sz w:val="26"/>
        </w:rPr>
        <w:t>Người đại diện theo pháp luật: Bà Nguyễn Thu Hà</w:t>
      </w:r>
    </w:p>
    <w:p>
      <w:r>
        <w:rPr>
          <w:rFonts w:ascii="Times New Roman" w:hAnsi="Times New Roman"/>
          <w:b w:val="0"/>
          <w:sz w:val="26"/>
        </w:rPr>
        <w:t>Chức danh: Tổng Giám đốc</w:t>
      </w:r>
    </w:p>
    <w:p>
      <w:r>
        <w:rPr>
          <w:rFonts w:ascii="Times New Roman" w:hAnsi="Times New Roman"/>
          <w:b w:val="0"/>
          <w:sz w:val="26"/>
        </w:rPr>
      </w:r>
    </w:p>
    <w:p>
      <w:r>
        <w:rPr>
          <w:rFonts w:ascii="Times New Roman" w:hAnsi="Times New Roman"/>
          <w:b w:val="0"/>
          <w:sz w:val="26"/>
        </w:rPr>
        <w:t>Bên B xác nhận có đầy đủ năng lực pháp luật và năng lực hành vi dân sự, đang là bên có nghĩa vụ thanh toán khoản nợ cho Bên A theo thỏa thuận và hoàn toàn tự nguyện tham gia ký kết biên bản thỏa thuận trả nợ này.</w:t>
      </w:r>
    </w:p>
    <w:p>
      <w:r>
        <w:rPr>
          <w:rFonts w:ascii="Times New Roman" w:hAnsi="Times New Roman"/>
          <w:b/>
          <w:sz w:val="28"/>
        </w:rPr>
        <w:br/>
        <w:t>II. CĂN CỨ VÀ MỤC ĐÍCH LẬP BIÊN BẢN THỎA THUẬN TRẢ NỢ</w:t>
      </w:r>
    </w:p>
    <w:p>
      <w:r>
        <w:rPr>
          <w:rFonts w:ascii="Times New Roman" w:hAnsi="Times New Roman"/>
          <w:b w:val="0"/>
          <w:sz w:val="26"/>
        </w:rPr>
        <w:t>Biên bản thỏa thuận trả nợ này được lập ra trên cơ sở:</w:t>
        <w:br/>
        <w:br/>
        <w:t>– Khoản nợ thực tế đã phát sinh giữa Bên A và Bên B trong quá trình giao dịch trước đó;</w:t>
        <w:br/>
        <w:t>– Sự tự nguyện, thiện chí và thống nhất ý chí của hai bên;</w:t>
        <w:br/>
        <w:t>– Nhu cầu cần xác nhận rõ ràng số tiền nợ, thời hạn, phương thức và trách nhiệm trả nợ;</w:t>
        <w:br/>
        <w:br/>
        <w:t>Biên bản này nhằm làm căn cứ pháp lý rõ ràng, minh bạch để hai bên thực hiện nghĩa vụ thanh toán và giải quyết tranh chấp (nếu có) theo quy định của pháp luật.</w:t>
      </w:r>
    </w:p>
    <w:p>
      <w:r>
        <w:rPr>
          <w:rFonts w:ascii="Times New Roman" w:hAnsi="Times New Roman"/>
          <w:b/>
          <w:sz w:val="28"/>
        </w:rPr>
        <w:br/>
        <w:t>III. NỘI DUNG THỎA THUẬN TRẢ NỢ</w:t>
      </w:r>
    </w:p>
    <w:p>
      <w:r>
        <w:rPr>
          <w:rFonts w:ascii="Times New Roman" w:hAnsi="Times New Roman"/>
          <w:b w:val="0"/>
          <w:sz w:val="26"/>
        </w:rPr>
        <w:t>Điều 1. Xác nhận khoản nợ</w:t>
        <w:br/>
        <w:br/>
        <w:t>Bên B xác nhận còn nợ Bên A số tiền:</w:t>
        <w:br/>
        <w:t>– Số tiền gốc: 500.000.000 VNĐ (Năm trăm triệu đồng chẵn).</w:t>
        <w:br/>
        <w:t>– Khoản nợ này phát sinh từ giao dịch/hợp đồng giữa hai bên trước thời điểm ký biên bản này.</w:t>
        <w:br/>
        <w:br/>
        <w:t>Việc xác nhận khoản nợ tại biên bản này thể hiện sự thừa nhận nghĩa vụ thanh toán của Bên B đối với Bên A.</w:t>
      </w:r>
    </w:p>
    <w:p>
      <w:r>
        <w:rPr>
          <w:rFonts w:ascii="Times New Roman" w:hAnsi="Times New Roman"/>
          <w:b w:val="0"/>
          <w:sz w:val="26"/>
        </w:rPr>
        <w:t>Điều 2. Phương thức và thời hạn thanh toán</w:t>
        <w:br/>
        <w:br/>
        <w:t>Bên B cam kết thanh toán khoản nợ nêu trên cho Bên A theo hình thức chuyển khoản vào tài khoản do Bên A chỉ định.</w:t>
        <w:br/>
        <w:br/>
        <w:t>Thời hạn thanh toán được chia thành các đợt cụ thể:</w:t>
        <w:br/>
        <w:t>– Đợt 1: 100.000.000 VNĐ, chậm nhất ngày 15/05/2025;</w:t>
        <w:br/>
        <w:t>– Đợt 2: 200.000.000 VNĐ, chậm nhất ngày 15/09/2025;</w:t>
        <w:br/>
        <w:t>– Đợt 3: 200.000.000 VNĐ, chậm nhất ngày 15/03/2026.</w:t>
        <w:br/>
        <w:br/>
        <w:t>Việc chia đợt thanh toán nhằm tạo điều kiện cho Bên B chủ động nguồn tài chính, đồng thời vẫn đảm bảo quyền lợi hợp pháp của Bên A.</w:t>
      </w:r>
    </w:p>
    <w:p>
      <w:r>
        <w:rPr>
          <w:rFonts w:ascii="Times New Roman" w:hAnsi="Times New Roman"/>
          <w:b w:val="0"/>
          <w:sz w:val="26"/>
        </w:rPr>
        <w:t>Điều 3. Lãi suất và chi phí phát sinh (nếu có)</w:t>
        <w:br/>
        <w:br/>
        <w:t>Hai bên thống nhất rằng khoản nợ trên không tính lãi trong thời gian thực hiện đúng lộ trình thanh toán đã cam kết.</w:t>
        <w:br/>
        <w:br/>
        <w:t>Trường hợp Bên B thanh toán chậm so với thời hạn đã thỏa thuận, Bên A có quyền yêu cầu tính lãi chậm trả theo mức lãi suất quy định của pháp luật tại thời điểm phát sinh vi phạm.</w:t>
      </w:r>
    </w:p>
    <w:p>
      <w:r>
        <w:rPr>
          <w:rFonts w:ascii="Times New Roman" w:hAnsi="Times New Roman"/>
          <w:b w:val="0"/>
          <w:sz w:val="26"/>
        </w:rPr>
        <w:t>Điều 4. Trách nhiệm do vi phạm nghĩa vụ trả nợ</w:t>
        <w:br/>
        <w:br/>
        <w:t>Trường hợp Bên B không thực hiện hoặc thực hiện không đúng nghĩa vụ thanh toán:</w:t>
        <w:br/>
        <w:t>– Bên A có quyền yêu cầu thanh toán toàn bộ số tiền còn nợ ngay lập tức;</w:t>
        <w:br/>
        <w:t>– Bên A có quyền khởi kiện tại Tòa án có thẩm quyền;</w:t>
        <w:br/>
        <w:t>– Mọi chi phí phát sinh liên quan đến việc thu hồi nợ do Bên B chịu.</w:t>
      </w:r>
    </w:p>
    <w:p>
      <w:r>
        <w:rPr>
          <w:rFonts w:ascii="Times New Roman" w:hAnsi="Times New Roman"/>
          <w:b/>
          <w:sz w:val="28"/>
        </w:rPr>
        <w:br/>
        <w:t>IV. HIỆU LỰC BIÊN BẢN</w:t>
      </w:r>
    </w:p>
    <w:p>
      <w:r>
        <w:rPr>
          <w:rFonts w:ascii="Times New Roman" w:hAnsi="Times New Roman"/>
          <w:b w:val="0"/>
          <w:sz w:val="26"/>
        </w:rPr>
        <w:t>Biên bản thỏa thuận trả nợ này có hiệu lực kể từ ngày ký và là căn cứ pháp lý ràng buộc trách nhiệm của các bên.</w:t>
      </w:r>
    </w:p>
    <w:p>
      <w:r>
        <w:rPr>
          <w:rFonts w:ascii="Times New Roman" w:hAnsi="Times New Roman"/>
          <w:b/>
          <w:sz w:val="28"/>
        </w:rPr>
        <w:br/>
        <w:t>V. GIẢI QUYẾT TRANH CHẤP</w:t>
      </w:r>
    </w:p>
    <w:p>
      <w:r>
        <w:rPr>
          <w:rFonts w:ascii="Times New Roman" w:hAnsi="Times New Roman"/>
          <w:b w:val="0"/>
          <w:sz w:val="26"/>
        </w:rPr>
        <w:t>Mọi tranh chấp phát sinh liên quan đến biên bản này được ưu tiên giải quyết thông qua thương lượng, hòa giải.</w:t>
        <w:br/>
        <w:br/>
        <w:t>Trường hợp không đạt được thỏa thuận, Bên A có quyền khởi kiện tại Tòa án nhân dân có thẩm quyền tại Thành phố Hà Nội.</w:t>
      </w:r>
    </w:p>
    <w:p>
      <w:r>
        <w:rPr>
          <w:rFonts w:ascii="Times New Roman" w:hAnsi="Times New Roman"/>
          <w:b/>
          <w:sz w:val="28"/>
        </w:rPr>
        <w:br/>
        <w:t>VI. CAM KẾT CHUNG</w:t>
      </w:r>
    </w:p>
    <w:p>
      <w:r>
        <w:rPr>
          <w:rFonts w:ascii="Times New Roman" w:hAnsi="Times New Roman"/>
          <w:b w:val="0"/>
          <w:sz w:val="26"/>
        </w:rPr>
        <w:t>Hai bên cam kết:</w:t>
        <w:br/>
        <w:t>– Các thông tin trong biên bản là đúng sự thật;</w:t>
        <w:br/>
        <w:t>– Đã đọc kỹ, hiểu rõ toàn bộ nội dung;</w:t>
        <w:br/>
        <w:t>– Tự nguyện ký kết và chịu trách nhiệm thực hiện;</w:t>
        <w:br/>
        <w:t>– Không khiếu nại, khiếu kiện nếu không có căn cứ pháp lý hợp lệ.</w:t>
      </w:r>
    </w:p>
    <w:p>
      <w:r>
        <w:rPr>
          <w:rFonts w:ascii="Times New Roman" w:hAnsi="Times New Roman"/>
          <w:b/>
          <w:sz w:val="28"/>
        </w:rPr>
        <w:br/>
        <w:t>VII. KÝ TÊN XÁC NHẬN</w:t>
      </w:r>
    </w:p>
    <w:p>
      <w:r>
        <w:rPr>
          <w:rFonts w:ascii="Times New Roman" w:hAnsi="Times New Roman"/>
          <w:b w:val="0"/>
          <w:sz w:val="26"/>
        </w:rPr>
        <w:t>Biên bản được lập thành 02 (hai) bản, mỗi bản gồm 08 (tám) trang, có giá trị pháp lý như nhau. Mỗi bên giữ 01 (một) bản để thực hiện.</w:t>
        <w:br/>
        <w:br/>
        <w:t>ĐẠI DIỆN BÊN A</w:t>
        <w:tab/>
        <w:tab/>
        <w:tab/>
        <w:t>ĐẠI DIỆN BÊN B</w:t>
        <w:br/>
        <w:t>Ông Phạm Minh Long</w:t>
        <w:tab/>
        <w:tab/>
        <w:t>Bà Nguyễn Thu Hà</w:t>
        <w:br/>
        <w:t>Giám đốc</w:t>
        <w:tab/>
        <w:tab/>
        <w:tab/>
        <w:t>Tổng Giám đốc</w:t>
        <w:br/>
        <w:t>(Ký, ghi rõ họ tên, đóng dấu)</w:t>
        <w:tab/>
        <w:t>(Ký, ghi rõ họ tên, đóng dấu)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